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Stowage &amp; Handling Guide</w:t>
      </w:r>
    </w:p>
    <w:p>
      <w:r>
        <w:t xml:space="preserve">How to stow a cask so the guarantee still stands.</w:t>
      </w:r>
    </w:p>
    <w:p>
      <w:r>
        <w:t xml:space="preserve"/>
      </w:r>
    </w:p>
    <w:p>
      <w:r>
        <w:t xml:space="preserve">1. Below the waterline. Casks stowed above the waterline in the tropics are outside the guarantee. Heat is the one thing the cure does not defeat.</w:t>
      </w:r>
    </w:p>
    <w:p>
      <w:r>
        <w:t xml:space="preserve"/>
      </w:r>
    </w:p>
    <w:p>
      <w:r>
        <w:t xml:space="preserve">2. Bung up and bilge free. Standard cooperage practice. A cask on its head will not spoil faster but it is far harder to broach cleanly at sea.</w:t>
      </w:r>
    </w:p>
    <w:p>
      <w:r>
        <w:t xml:space="preserve"/>
      </w:r>
    </w:p>
    <w:p>
      <w:r>
        <w:t xml:space="preserve">3. Broach in cure-date order. Every head is stamped. Oldest first, always.</w:t>
      </w:r>
    </w:p>
    <w:p>
      <w:r>
        <w:t xml:space="preserve"/>
      </w:r>
    </w:p>
    <w:p>
      <w:r>
        <w:t xml:space="preserve">4. Five weeks once broached. An opened cask keeps about five weeks. Plan the broaching schedule against crew size, not against appetite.</w:t>
      </w:r>
    </w:p>
    <w:p>
      <w:r>
        <w:t xml:space="preserve"/>
      </w:r>
    </w:p>
    <w:p>
      <w:r>
        <w:t xml:space="preserve">5. Keep the head. If a cask turns, we replace it on the strength of the cooper's mark alone. Send us the mark, not the fruit.</w:t>
      </w:r>
    </w:p>
    <w:p>
      <w:r>
        <w:t xml:space="preserve"/>
      </w:r>
    </w:p>
    <w:p>
      <w:r>
        <w:t xml:space="preserve">Questions: casks@barriesbananafactory.com</w:t>
      </w:r>
    </w:p>
  </w:body>
</w:document>
</file>